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D" w:rsidRPr="00EA4038" w:rsidRDefault="00EA4038" w:rsidP="004328C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A4038">
        <w:rPr>
          <w:b/>
          <w:sz w:val="24"/>
          <w:szCs w:val="24"/>
        </w:rPr>
        <w:t>Université de Monastir</w:t>
      </w:r>
    </w:p>
    <w:p w:rsidR="00EA4038" w:rsidRDefault="00EA4038" w:rsidP="004328C0">
      <w:pPr>
        <w:spacing w:line="240" w:lineRule="auto"/>
        <w:jc w:val="center"/>
        <w:rPr>
          <w:b/>
          <w:sz w:val="24"/>
          <w:szCs w:val="24"/>
        </w:rPr>
      </w:pPr>
      <w:r w:rsidRPr="00EA4038">
        <w:rPr>
          <w:b/>
          <w:sz w:val="24"/>
          <w:szCs w:val="24"/>
        </w:rPr>
        <w:t>Faculté de Pharmacie de Monastir</w:t>
      </w:r>
    </w:p>
    <w:p w:rsidR="004328C0" w:rsidRDefault="00C915A1" w:rsidP="004328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 2018-2019</w:t>
      </w:r>
    </w:p>
    <w:p w:rsidR="00EA4038" w:rsidRDefault="00EA4038" w:rsidP="004328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EPU d’Hématologie </w:t>
      </w:r>
    </w:p>
    <w:p w:rsidR="00EA4038" w:rsidRDefault="00EA4038" w:rsidP="004328C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E613C">
        <w:rPr>
          <w:b/>
          <w:sz w:val="32"/>
          <w:szCs w:val="32"/>
          <w:u w:val="single"/>
        </w:rPr>
        <w:t>Objectifs de l’examen pratique d’immunohématologie</w:t>
      </w:r>
    </w:p>
    <w:p w:rsidR="00AE613C" w:rsidRPr="00AE613C" w:rsidRDefault="00AE613C" w:rsidP="004328C0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C44B41" w:rsidRPr="00AE613C" w:rsidRDefault="00C44B41" w:rsidP="00C44B41">
      <w:pPr>
        <w:spacing w:line="240" w:lineRule="auto"/>
        <w:rPr>
          <w:b/>
          <w:color w:val="FF0000"/>
          <w:sz w:val="28"/>
          <w:szCs w:val="28"/>
        </w:rPr>
      </w:pPr>
      <w:r w:rsidRPr="00AE613C">
        <w:rPr>
          <w:b/>
          <w:color w:val="FF0000"/>
          <w:sz w:val="28"/>
          <w:szCs w:val="28"/>
        </w:rPr>
        <w:t>Objectifs niveau 1 (pour tous les résidents en biologie quelle que soit l’option)</w:t>
      </w:r>
    </w:p>
    <w:p w:rsidR="00C56ED9" w:rsidRPr="00AE613C" w:rsidRDefault="00C56ED9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la démarche à entreprendre devant une difficulté de groupage ABO</w:t>
      </w:r>
    </w:p>
    <w:p w:rsidR="00C56ED9" w:rsidRPr="00AE613C" w:rsidRDefault="00C56ED9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Connaître la démarche à entreprendre devant une difficulté de groupage </w:t>
      </w:r>
      <w:proofErr w:type="spellStart"/>
      <w:r w:rsidRPr="00AE613C">
        <w:rPr>
          <w:sz w:val="28"/>
          <w:szCs w:val="28"/>
        </w:rPr>
        <w:t>RhD</w:t>
      </w:r>
      <w:proofErr w:type="spellEnd"/>
    </w:p>
    <w:p w:rsidR="00C56ED9" w:rsidRPr="00AE613C" w:rsidRDefault="00EA4038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Savoir détecter </w:t>
      </w:r>
      <w:r w:rsidR="00C56ED9" w:rsidRPr="00AE613C">
        <w:rPr>
          <w:sz w:val="28"/>
          <w:szCs w:val="28"/>
        </w:rPr>
        <w:t xml:space="preserve">et résoudre </w:t>
      </w:r>
      <w:r w:rsidRPr="00AE613C">
        <w:rPr>
          <w:sz w:val="28"/>
          <w:szCs w:val="28"/>
        </w:rPr>
        <w:t xml:space="preserve">les difficultés du </w:t>
      </w:r>
      <w:proofErr w:type="spellStart"/>
      <w:r w:rsidRPr="00AE613C">
        <w:rPr>
          <w:sz w:val="28"/>
          <w:szCs w:val="28"/>
        </w:rPr>
        <w:t>ph</w:t>
      </w:r>
      <w:r w:rsidR="00C56ED9" w:rsidRPr="00AE613C">
        <w:rPr>
          <w:sz w:val="28"/>
          <w:szCs w:val="28"/>
        </w:rPr>
        <w:t>énotypage</w:t>
      </w:r>
      <w:proofErr w:type="spellEnd"/>
      <w:r w:rsidR="00C56ED9" w:rsidRPr="00AE613C">
        <w:rPr>
          <w:sz w:val="28"/>
          <w:szCs w:val="28"/>
        </w:rPr>
        <w:t xml:space="preserve"> érythrocytaire RH KEL</w:t>
      </w:r>
    </w:p>
    <w:p w:rsidR="009D2DBD" w:rsidRPr="00AE613C" w:rsidRDefault="009D2DBD" w:rsidP="009D2DB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Hémolysines ABO : recherche et implications cliniques</w:t>
      </w:r>
    </w:p>
    <w:p w:rsidR="002E4EC7" w:rsidRPr="00AE613C" w:rsidRDefault="00EA4038" w:rsidP="002E4EC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les principes des techniques d’</w:t>
      </w:r>
      <w:proofErr w:type="spellStart"/>
      <w:r w:rsidRPr="00AE613C">
        <w:rPr>
          <w:sz w:val="28"/>
          <w:szCs w:val="28"/>
        </w:rPr>
        <w:t>hémagglutination</w:t>
      </w:r>
      <w:proofErr w:type="spellEnd"/>
      <w:r w:rsidRPr="00AE613C">
        <w:rPr>
          <w:sz w:val="28"/>
          <w:szCs w:val="28"/>
        </w:rPr>
        <w:t xml:space="preserve"> artificielle </w:t>
      </w:r>
      <w:r w:rsidR="00FA5939" w:rsidRPr="00AE613C">
        <w:rPr>
          <w:sz w:val="28"/>
          <w:szCs w:val="28"/>
        </w:rPr>
        <w:t xml:space="preserve"> et leurs applications en immunohématologie</w:t>
      </w:r>
    </w:p>
    <w:p w:rsidR="00E018E5" w:rsidRPr="00AE613C" w:rsidRDefault="002E4EC7" w:rsidP="002E4EC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Savoir interpréter le résultat d’un t</w:t>
      </w:r>
      <w:r w:rsidR="002F0A91" w:rsidRPr="00AE613C">
        <w:rPr>
          <w:sz w:val="28"/>
          <w:szCs w:val="28"/>
        </w:rPr>
        <w:t xml:space="preserve">est de </w:t>
      </w:r>
      <w:proofErr w:type="spellStart"/>
      <w:r w:rsidR="002F0A91" w:rsidRPr="00AE613C">
        <w:rPr>
          <w:sz w:val="28"/>
          <w:szCs w:val="28"/>
        </w:rPr>
        <w:t>Coombs</w:t>
      </w:r>
      <w:proofErr w:type="spellEnd"/>
      <w:r w:rsidR="002F0A91" w:rsidRPr="00AE613C">
        <w:rPr>
          <w:sz w:val="28"/>
          <w:szCs w:val="28"/>
        </w:rPr>
        <w:t xml:space="preserve"> direct </w:t>
      </w:r>
      <w:r w:rsidR="00E018E5" w:rsidRPr="00AE613C">
        <w:rPr>
          <w:sz w:val="28"/>
          <w:szCs w:val="28"/>
        </w:rPr>
        <w:t xml:space="preserve"> (TCD)</w:t>
      </w:r>
      <w:r w:rsidRPr="00AE613C">
        <w:rPr>
          <w:sz w:val="28"/>
          <w:szCs w:val="28"/>
        </w:rPr>
        <w:t> </w:t>
      </w:r>
    </w:p>
    <w:p w:rsidR="00F21D6A" w:rsidRPr="00AE613C" w:rsidRDefault="00F21D6A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Connaître les caractéristiques d’un bon panel érythrocytaire </w:t>
      </w:r>
    </w:p>
    <w:p w:rsidR="00F21D6A" w:rsidRPr="00AE613C" w:rsidRDefault="00F21D6A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</w:t>
      </w:r>
      <w:r w:rsidR="00C56ED9" w:rsidRPr="00AE613C">
        <w:rPr>
          <w:sz w:val="28"/>
          <w:szCs w:val="28"/>
        </w:rPr>
        <w:t xml:space="preserve">naître les indications de la recherche des agglutinines irrégulières (RAI) </w:t>
      </w:r>
      <w:r w:rsidR="002E4EC7" w:rsidRPr="00AE613C">
        <w:rPr>
          <w:sz w:val="28"/>
          <w:szCs w:val="28"/>
        </w:rPr>
        <w:t>ainsi que</w:t>
      </w:r>
      <w:r w:rsidRPr="00AE613C">
        <w:rPr>
          <w:sz w:val="28"/>
          <w:szCs w:val="28"/>
        </w:rPr>
        <w:t xml:space="preserve"> le bon moment de sa réalisation </w:t>
      </w:r>
    </w:p>
    <w:p w:rsidR="00F21D6A" w:rsidRPr="00AE613C" w:rsidRDefault="00F21D6A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les techniques de  RAI : sensibilité et limites</w:t>
      </w:r>
    </w:p>
    <w:p w:rsidR="00F21D6A" w:rsidRPr="00AE613C" w:rsidRDefault="002F0A91" w:rsidP="00EA40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Savoir interpréter</w:t>
      </w:r>
      <w:r w:rsidR="00162401" w:rsidRPr="00AE613C">
        <w:rPr>
          <w:sz w:val="28"/>
          <w:szCs w:val="28"/>
        </w:rPr>
        <w:t xml:space="preserve"> le résultat d’une RAI </w:t>
      </w:r>
    </w:p>
    <w:p w:rsidR="00C44B41" w:rsidRPr="00AE613C" w:rsidRDefault="00E018E5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Savoir réaliser le test de compatibilité au laboratoire et connaître la conduite à tenir devant un cross-match positif </w:t>
      </w:r>
    </w:p>
    <w:p w:rsidR="00C44B41" w:rsidRPr="00AE613C" w:rsidRDefault="004328C0" w:rsidP="00C44B41">
      <w:pPr>
        <w:rPr>
          <w:color w:val="FF0000"/>
          <w:sz w:val="28"/>
          <w:szCs w:val="28"/>
        </w:rPr>
      </w:pPr>
      <w:r w:rsidRPr="00AE613C">
        <w:rPr>
          <w:b/>
          <w:sz w:val="28"/>
          <w:szCs w:val="28"/>
        </w:rPr>
        <w:t xml:space="preserve"> </w:t>
      </w:r>
      <w:r w:rsidR="00C44B41" w:rsidRPr="00AE613C">
        <w:rPr>
          <w:b/>
          <w:color w:val="FF0000"/>
          <w:sz w:val="28"/>
          <w:szCs w:val="28"/>
        </w:rPr>
        <w:t>Objectifs niveau 2  (uniquement pour  les résidents en biologie option hématologie)</w:t>
      </w:r>
    </w:p>
    <w:p w:rsidR="00C44B41" w:rsidRPr="00AE613C" w:rsidRDefault="00C44B41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Connaître les propriétés des anticorps anti-érythrocytaires naturels et immuns et leurs implications cliniques </w:t>
      </w:r>
    </w:p>
    <w:p w:rsidR="00C44B41" w:rsidRPr="00AE613C" w:rsidRDefault="00C44B41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la conduite à tenir devant une RAI complexe</w:t>
      </w:r>
    </w:p>
    <w:p w:rsidR="00C44B41" w:rsidRPr="00AE613C" w:rsidRDefault="00C44B41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Savoir réaliser et interpréter le bilan d’anémie hémolytique auto-immune (AHAI)</w:t>
      </w:r>
    </w:p>
    <w:p w:rsidR="00C44B41" w:rsidRPr="00AE613C" w:rsidRDefault="00C44B41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lastRenderedPageBreak/>
        <w:t>Savoir réaliser et interpréter le bilan de la maladie hémolytique du fœtus et du nouveau-né (MHFNN)</w:t>
      </w:r>
    </w:p>
    <w:p w:rsidR="00C44B41" w:rsidRPr="00AE613C" w:rsidRDefault="00C44B41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la conduite transfusionnelle devant une AHAI et une MHFNN</w:t>
      </w:r>
    </w:p>
    <w:p w:rsidR="00C44B41" w:rsidRPr="00AE613C" w:rsidRDefault="00C44B41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Connaître les produits sanguins labiles : qualifications, transformations et   indications </w:t>
      </w:r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 principe du typage HLA sérologique et moléculaire</w:t>
      </w:r>
    </w:p>
    <w:p w:rsidR="000F0CC5" w:rsidRPr="00AE613C" w:rsidRDefault="000F0CC5" w:rsidP="00C44B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Connaître le principe de la séparation lymphocytaire </w:t>
      </w:r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 xml:space="preserve">Connaître le principe et la réalisation du test de </w:t>
      </w:r>
      <w:proofErr w:type="spellStart"/>
      <w:r w:rsidRPr="00AE613C">
        <w:rPr>
          <w:sz w:val="28"/>
          <w:szCs w:val="28"/>
        </w:rPr>
        <w:t>microlymphocytotoxicité</w:t>
      </w:r>
      <w:proofErr w:type="spellEnd"/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</w:t>
      </w:r>
      <w:r w:rsidR="005928C6" w:rsidRPr="00AE613C">
        <w:rPr>
          <w:sz w:val="28"/>
          <w:szCs w:val="28"/>
        </w:rPr>
        <w:t>tre le test de compatibilité</w:t>
      </w:r>
      <w:r w:rsidRPr="00AE613C">
        <w:rPr>
          <w:sz w:val="28"/>
          <w:szCs w:val="28"/>
        </w:rPr>
        <w:t xml:space="preserve"> </w:t>
      </w:r>
      <w:proofErr w:type="spellStart"/>
      <w:r w:rsidRPr="00AE613C">
        <w:rPr>
          <w:sz w:val="28"/>
          <w:szCs w:val="28"/>
        </w:rPr>
        <w:t>leucoplaquettaire</w:t>
      </w:r>
      <w:proofErr w:type="spellEnd"/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la constitution d’un panel lymphocytaire</w:t>
      </w:r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  principe de congélation des lymphocytes</w:t>
      </w:r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les règles de transfusion chez les greffés de cellules souches hématopoïétiques (CSH)</w:t>
      </w:r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 principe de prélèvement  des CSH</w:t>
      </w:r>
    </w:p>
    <w:p w:rsidR="000F0CC5" w:rsidRPr="00AE613C" w:rsidRDefault="000F0CC5" w:rsidP="000F0C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613C">
        <w:rPr>
          <w:sz w:val="28"/>
          <w:szCs w:val="28"/>
        </w:rPr>
        <w:t>Connaître le  principe de l’échange plasmatique et ses indications</w:t>
      </w:r>
    </w:p>
    <w:p w:rsidR="000F0CC5" w:rsidRPr="00AE613C" w:rsidRDefault="000F0CC5" w:rsidP="000F0CC5">
      <w:pPr>
        <w:pStyle w:val="Paragraphedeliste"/>
        <w:rPr>
          <w:sz w:val="28"/>
          <w:szCs w:val="28"/>
        </w:rPr>
      </w:pPr>
    </w:p>
    <w:p w:rsidR="00C44B41" w:rsidRPr="00AE613C" w:rsidRDefault="00C44B41" w:rsidP="00C44B41">
      <w:pPr>
        <w:pStyle w:val="Paragraphedeliste"/>
        <w:rPr>
          <w:sz w:val="28"/>
          <w:szCs w:val="28"/>
        </w:rPr>
      </w:pPr>
    </w:p>
    <w:p w:rsidR="00C44B41" w:rsidRPr="00AE613C" w:rsidRDefault="00C44B41" w:rsidP="00C44B41">
      <w:pPr>
        <w:spacing w:line="240" w:lineRule="auto"/>
        <w:rPr>
          <w:b/>
          <w:sz w:val="28"/>
          <w:szCs w:val="28"/>
        </w:rPr>
      </w:pPr>
    </w:p>
    <w:p w:rsidR="00EA4038" w:rsidRPr="00AE613C" w:rsidRDefault="004328C0">
      <w:pPr>
        <w:rPr>
          <w:sz w:val="28"/>
          <w:szCs w:val="28"/>
        </w:rPr>
      </w:pPr>
      <w:r w:rsidRPr="00AE613C">
        <w:rPr>
          <w:sz w:val="28"/>
          <w:szCs w:val="28"/>
        </w:rPr>
        <w:t xml:space="preserve">                 </w:t>
      </w:r>
      <w:r w:rsidR="00EA4038" w:rsidRPr="00AE613C">
        <w:rPr>
          <w:sz w:val="28"/>
          <w:szCs w:val="28"/>
        </w:rPr>
        <w:t xml:space="preserve">      </w:t>
      </w:r>
      <w:r w:rsidR="00C56ED9" w:rsidRPr="00AE613C">
        <w:rPr>
          <w:sz w:val="28"/>
          <w:szCs w:val="28"/>
        </w:rPr>
        <w:t xml:space="preserve">                </w:t>
      </w:r>
      <w:r w:rsidR="00EA4038" w:rsidRPr="00AE613C">
        <w:rPr>
          <w:sz w:val="28"/>
          <w:szCs w:val="28"/>
        </w:rPr>
        <w:t xml:space="preserve">                                                                              </w:t>
      </w:r>
    </w:p>
    <w:sectPr w:rsidR="00EA4038" w:rsidRPr="00AE613C" w:rsidSect="0004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7B7"/>
    <w:multiLevelType w:val="hybridMultilevel"/>
    <w:tmpl w:val="C30AD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40E2"/>
    <w:multiLevelType w:val="hybridMultilevel"/>
    <w:tmpl w:val="807C7E9E"/>
    <w:lvl w:ilvl="0" w:tplc="55D2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38"/>
    <w:rsid w:val="00042C4D"/>
    <w:rsid w:val="000C7945"/>
    <w:rsid w:val="000F0CC5"/>
    <w:rsid w:val="00162401"/>
    <w:rsid w:val="002C56E4"/>
    <w:rsid w:val="002E4EC7"/>
    <w:rsid w:val="002F0A91"/>
    <w:rsid w:val="00336BC3"/>
    <w:rsid w:val="003A402F"/>
    <w:rsid w:val="0040060D"/>
    <w:rsid w:val="004328C0"/>
    <w:rsid w:val="004A15B7"/>
    <w:rsid w:val="005928C6"/>
    <w:rsid w:val="00942160"/>
    <w:rsid w:val="009D2DBD"/>
    <w:rsid w:val="00A269B4"/>
    <w:rsid w:val="00AE613C"/>
    <w:rsid w:val="00C44B41"/>
    <w:rsid w:val="00C56ED9"/>
    <w:rsid w:val="00C915A1"/>
    <w:rsid w:val="00D85881"/>
    <w:rsid w:val="00DA2247"/>
    <w:rsid w:val="00E018E5"/>
    <w:rsid w:val="00EA4038"/>
    <w:rsid w:val="00F1579C"/>
    <w:rsid w:val="00F21D6A"/>
    <w:rsid w:val="00F56595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AOPEN1</dc:creator>
  <cp:lastModifiedBy>poste 001</cp:lastModifiedBy>
  <cp:revision>2</cp:revision>
  <cp:lastPrinted>2018-08-02T09:32:00Z</cp:lastPrinted>
  <dcterms:created xsi:type="dcterms:W3CDTF">2019-04-16T09:59:00Z</dcterms:created>
  <dcterms:modified xsi:type="dcterms:W3CDTF">2019-04-16T09:59:00Z</dcterms:modified>
</cp:coreProperties>
</file>