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4" w:rsidRPr="00271FE4" w:rsidRDefault="002F7BB3" w:rsidP="00271FE4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Epreuve 1 </w:t>
      </w:r>
      <w:r w:rsidR="00271FE4" w:rsidRPr="00271FE4">
        <w:rPr>
          <w:rFonts w:ascii="Calibri" w:hAnsi="Calibri" w:cs="Calibri"/>
          <w:b/>
          <w:bCs/>
          <w:sz w:val="28"/>
          <w:szCs w:val="28"/>
        </w:rPr>
        <w:t>: législation pharmaceutique tunisienne</w:t>
      </w:r>
    </w:p>
    <w:p w:rsidR="00271FE4" w:rsidRDefault="00271FE4"/>
    <w:p w:rsidR="00271FE4" w:rsidRDefault="00271FE4"/>
    <w:p w:rsidR="00271FE4" w:rsidRDefault="00271FE4"/>
    <w:p w:rsidR="00271FE4" w:rsidRDefault="00271FE4"/>
    <w:p w:rsidR="00271FE4" w:rsidRPr="00271FE4" w:rsidRDefault="00271FE4" w:rsidP="00271FE4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1FE4">
        <w:rPr>
          <w:rFonts w:cstheme="minorHAnsi"/>
          <w:sz w:val="28"/>
          <w:szCs w:val="28"/>
        </w:rPr>
        <w:t xml:space="preserve">Le </w:t>
      </w:r>
      <w:r>
        <w:rPr>
          <w:rFonts w:cstheme="minorHAnsi"/>
          <w:sz w:val="28"/>
          <w:szCs w:val="28"/>
        </w:rPr>
        <w:t xml:space="preserve">code de déontologie </w:t>
      </w:r>
    </w:p>
    <w:p w:rsidR="00271FE4" w:rsidRPr="00271FE4" w:rsidRDefault="00271FE4" w:rsidP="00271FE4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1FE4">
        <w:rPr>
          <w:rFonts w:cstheme="minorHAnsi"/>
          <w:sz w:val="28"/>
          <w:szCs w:val="28"/>
        </w:rPr>
        <w:t>La Loi 73-</w:t>
      </w:r>
      <w:r>
        <w:rPr>
          <w:rFonts w:cstheme="minorHAnsi"/>
          <w:sz w:val="28"/>
          <w:szCs w:val="28"/>
        </w:rPr>
        <w:t>55</w:t>
      </w:r>
    </w:p>
    <w:p w:rsidR="00271FE4" w:rsidRPr="00271FE4" w:rsidRDefault="00271FE4" w:rsidP="00271FE4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1FE4">
        <w:rPr>
          <w:rFonts w:cstheme="minorHAnsi"/>
          <w:sz w:val="28"/>
          <w:szCs w:val="28"/>
        </w:rPr>
        <w:t>La Loi 69-54 portant réglementation des substances vénéneuses telle que complétée et modifiée par la loi 2009</w:t>
      </w:r>
      <w:r w:rsidR="00C01BC2">
        <w:rPr>
          <w:rFonts w:cstheme="minorHAnsi"/>
          <w:sz w:val="28"/>
          <w:szCs w:val="28"/>
        </w:rPr>
        <w:t xml:space="preserve"> : Régimes des tableaux A, B, C des médicaments dans l’officine </w:t>
      </w:r>
    </w:p>
    <w:p w:rsidR="000F7AC9" w:rsidRPr="00271FE4" w:rsidRDefault="00C01BC2" w:rsidP="00C01BC2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Circulaire </w:t>
      </w:r>
      <w:r w:rsidR="00271FE4" w:rsidRPr="00271FE4">
        <w:rPr>
          <w:rFonts w:cstheme="minorHAnsi"/>
          <w:sz w:val="28"/>
          <w:szCs w:val="28"/>
        </w:rPr>
        <w:t xml:space="preserve"> Concernant la dispensation des psychotropes sous contrôle du Ministère de la Santé </w:t>
      </w:r>
    </w:p>
    <w:sectPr w:rsidR="000F7AC9" w:rsidRPr="00271FE4" w:rsidSect="00CD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8EB"/>
    <w:multiLevelType w:val="hybridMultilevel"/>
    <w:tmpl w:val="2ED2B0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E4"/>
    <w:rsid w:val="00170A77"/>
    <w:rsid w:val="0022177E"/>
    <w:rsid w:val="00271FE4"/>
    <w:rsid w:val="002F7BB3"/>
    <w:rsid w:val="003A62E8"/>
    <w:rsid w:val="006F6A79"/>
    <w:rsid w:val="00BE29CD"/>
    <w:rsid w:val="00C01BC2"/>
    <w:rsid w:val="00CD4C1A"/>
    <w:rsid w:val="00CD6E2D"/>
    <w:rsid w:val="00D23C08"/>
    <w:rsid w:val="00FF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1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Administrateur</cp:lastModifiedBy>
  <cp:revision>2</cp:revision>
  <dcterms:created xsi:type="dcterms:W3CDTF">2021-08-18T10:34:00Z</dcterms:created>
  <dcterms:modified xsi:type="dcterms:W3CDTF">2021-08-18T10:34:00Z</dcterms:modified>
</cp:coreProperties>
</file>